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2A9DA" w14:textId="77777777" w:rsidR="005158B0" w:rsidRPr="006F3503" w:rsidRDefault="006F3503">
      <w:pPr>
        <w:rPr>
          <w:b/>
          <w:sz w:val="36"/>
          <w:szCs w:val="36"/>
        </w:rPr>
      </w:pPr>
      <w:r w:rsidRPr="006F3503">
        <w:rPr>
          <w:b/>
          <w:sz w:val="36"/>
          <w:szCs w:val="36"/>
        </w:rPr>
        <w:t xml:space="preserve">Medical Terminology </w:t>
      </w:r>
    </w:p>
    <w:p w14:paraId="2B0ACD7D" w14:textId="77777777" w:rsidR="006F3503" w:rsidRDefault="006F3503"/>
    <w:p w14:paraId="5879FE37" w14:textId="77777777" w:rsidR="006F3503" w:rsidRDefault="0031047E">
      <w:hyperlink r:id="rId6" w:history="1">
        <w:r w:rsidR="006F3503">
          <w:rPr>
            <w:rStyle w:val="Hyperlink"/>
          </w:rPr>
          <w:t>Complementary and Alternative Medicine Terms</w:t>
        </w:r>
      </w:hyperlink>
    </w:p>
    <w:p w14:paraId="5B1A5A99" w14:textId="77777777" w:rsidR="006F3503" w:rsidRDefault="006F3503"/>
    <w:p w14:paraId="1D127886" w14:textId="77777777" w:rsidR="006F3503" w:rsidRPr="006F3503" w:rsidRDefault="006F3503" w:rsidP="006F3503">
      <w:pPr>
        <w:rPr>
          <w:rFonts w:eastAsia="Times New Roman"/>
        </w:rPr>
      </w:pPr>
      <w:r w:rsidRPr="006F3503">
        <w:rPr>
          <w:rFonts w:eastAsia="Times New Roman"/>
        </w:rPr>
        <w:t>The National Center for Complementary and Alternative Medicine (NCCAM) is the Federal Government’s lead agency for scientific research on the diverse medical and health care systems, practices, and products that are not generally considered part of conventional medicine.</w:t>
      </w:r>
    </w:p>
    <w:p w14:paraId="68A67775" w14:textId="77777777" w:rsidR="006F3503" w:rsidRDefault="006F3503"/>
    <w:p w14:paraId="5541A7FB" w14:textId="77777777" w:rsidR="006F3503" w:rsidRDefault="0031047E">
      <w:hyperlink r:id="rId7" w:history="1">
        <w:r w:rsidR="006F3503">
          <w:rPr>
            <w:rStyle w:val="Hyperlink"/>
          </w:rPr>
          <w:t>Medline Plus Medical Dictionary</w:t>
        </w:r>
      </w:hyperlink>
    </w:p>
    <w:p w14:paraId="52D63847" w14:textId="77777777" w:rsidR="006F3503" w:rsidRDefault="006F3503" w:rsidP="006F3503">
      <w:pPr>
        <w:pStyle w:val="NormalWeb"/>
      </w:pPr>
      <w:r>
        <w:t>Medline Plus is the National Institutes of Health's Web site for patients and their families and friends. Produced by the National Library of Medicine, it brings you information about diseases, conditions, and wellness issues in language you can understand. Medline Plus offers reliable, up-to-date health information, anytime, anywhere, and for free.</w:t>
      </w:r>
    </w:p>
    <w:p w14:paraId="7F39CB70" w14:textId="77777777" w:rsidR="006F3503" w:rsidRDefault="0031047E" w:rsidP="006F3503">
      <w:pPr>
        <w:pStyle w:val="NormalWeb"/>
      </w:pPr>
      <w:hyperlink r:id="rId8" w:history="1">
        <w:r w:rsidR="006F3503">
          <w:rPr>
            <w:rStyle w:val="Hyperlink"/>
          </w:rPr>
          <w:t>National Cancer Institute Dictionary of Cancer Terms</w:t>
        </w:r>
      </w:hyperlink>
    </w:p>
    <w:p w14:paraId="673E8B1C" w14:textId="77777777" w:rsidR="006F3503" w:rsidRPr="006F3503" w:rsidRDefault="006F3503" w:rsidP="006F3503">
      <w:pPr>
        <w:rPr>
          <w:rFonts w:eastAsia="Times New Roman"/>
        </w:rPr>
      </w:pPr>
      <w:r w:rsidRPr="006F3503">
        <w:rPr>
          <w:rFonts w:eastAsia="Times New Roman"/>
        </w:rPr>
        <w:t>NIH is the leading supporter of biomedical research in the world. This research has had a major positive impact on nearly all of our lives by improving human health, fueling the U.S. economy, and creating jobs in our communities.</w:t>
      </w:r>
      <w:r w:rsidRPr="006F3503">
        <w:rPr>
          <w:rFonts w:eastAsia="Times New Roman"/>
        </w:rPr>
        <w:br/>
        <w:t> </w:t>
      </w:r>
      <w:r w:rsidRPr="006F3503">
        <w:rPr>
          <w:rFonts w:eastAsia="Times New Roman"/>
        </w:rPr>
        <w:br/>
        <w:t>Due in large measure to NIH research, a baby born in the United States today can expect to live to nearly age 79—about three decades longer than one born in 1900. Not only are we living longer, but our quality of life is improving. Over the last quarter century, the proportion of older people with chronic disabilities has dropped by nearly one-third</w:t>
      </w:r>
    </w:p>
    <w:p w14:paraId="656BA216" w14:textId="77777777" w:rsidR="006F3503" w:rsidRPr="006F3503" w:rsidRDefault="006F3503" w:rsidP="006F3503">
      <w:pPr>
        <w:pStyle w:val="NormalWeb"/>
        <w:rPr>
          <w:b/>
          <w:sz w:val="36"/>
          <w:szCs w:val="36"/>
        </w:rPr>
      </w:pPr>
      <w:r w:rsidRPr="006F3503">
        <w:rPr>
          <w:b/>
          <w:sz w:val="36"/>
          <w:szCs w:val="36"/>
        </w:rPr>
        <w:t>Nursing Information</w:t>
      </w:r>
    </w:p>
    <w:p w14:paraId="6D361BED" w14:textId="77777777" w:rsidR="006F3503" w:rsidRDefault="0031047E" w:rsidP="006F3503">
      <w:pPr>
        <w:rPr>
          <w:rFonts w:eastAsia="Times New Roman"/>
        </w:rPr>
      </w:pPr>
      <w:hyperlink r:id="rId9" w:history="1">
        <w:r w:rsidR="006F3503">
          <w:rPr>
            <w:rStyle w:val="Hyperlink"/>
            <w:rFonts w:eastAsia="Times New Roman"/>
          </w:rPr>
          <w:t>Clinical Trials by U.S National Institutes of Health</w:t>
        </w:r>
      </w:hyperlink>
    </w:p>
    <w:p w14:paraId="4FDA4F8E" w14:textId="77777777" w:rsidR="006F3503" w:rsidRDefault="006F3503" w:rsidP="006F3503">
      <w:pPr>
        <w:rPr>
          <w:rFonts w:eastAsia="Times New Roman"/>
        </w:rPr>
      </w:pPr>
    </w:p>
    <w:p w14:paraId="052AC931" w14:textId="77777777" w:rsidR="006F3503" w:rsidRDefault="006F3503" w:rsidP="006F3503">
      <w:pPr>
        <w:rPr>
          <w:rFonts w:eastAsia="Times New Roman"/>
        </w:rPr>
      </w:pPr>
      <w:r w:rsidRPr="006F3503">
        <w:rPr>
          <w:rFonts w:eastAsia="Times New Roman"/>
        </w:rPr>
        <w:t>Clinical Trials offers up-to-date information for locating federally and privately supported clinical trials for a wide range of diseases and conditions. A clinical trial (also clinical research) is a research study in human volunteers to answer specific health questions. Intervention trials determine whether experimental treatments or new ways of using known therapies are safe and effective under controlled environments. Observational trials address health issues in large groups of people or populations in natural settings.</w:t>
      </w:r>
    </w:p>
    <w:p w14:paraId="5574FEAB" w14:textId="77777777" w:rsidR="006F3503" w:rsidRDefault="006F3503" w:rsidP="006F3503">
      <w:pPr>
        <w:rPr>
          <w:rFonts w:eastAsia="Times New Roman"/>
        </w:rPr>
      </w:pPr>
    </w:p>
    <w:p w14:paraId="045AC3DC" w14:textId="77777777" w:rsidR="006F3503" w:rsidRDefault="0031047E" w:rsidP="006F3503">
      <w:pPr>
        <w:rPr>
          <w:rFonts w:eastAsia="Times New Roman"/>
        </w:rPr>
      </w:pPr>
      <w:hyperlink r:id="rId10" w:history="1">
        <w:r w:rsidR="006F3503">
          <w:rPr>
            <w:rStyle w:val="Hyperlink"/>
            <w:rFonts w:eastAsia="Times New Roman"/>
          </w:rPr>
          <w:t>Family Doctor.org</w:t>
        </w:r>
      </w:hyperlink>
    </w:p>
    <w:p w14:paraId="29188B51" w14:textId="77777777" w:rsidR="006F3503" w:rsidRDefault="006F3503" w:rsidP="006F3503">
      <w:pPr>
        <w:pStyle w:val="NormalWeb"/>
      </w:pPr>
      <w:r>
        <w:t xml:space="preserve">This Web site is operated by the American Academy of Family Physicians (AAFP), a national medical organization representing more than 105,900 family physicians, family practice residents and medical students. All of the information on this site has been written and reviewed by physicians and patient education professionals at the AAFP. Visit the </w:t>
      </w:r>
      <w:hyperlink r:id="rId11" w:tooltip="AAFP" w:history="1">
        <w:r>
          <w:rPr>
            <w:rStyle w:val="Hyperlink"/>
          </w:rPr>
          <w:t>AAFP Web site</w:t>
        </w:r>
      </w:hyperlink>
      <w:r>
        <w:t xml:space="preserve"> to learn more </w:t>
      </w:r>
      <w:hyperlink r:id="rId12" w:tooltip="AAFP Facts" w:history="1">
        <w:r>
          <w:rPr>
            <w:rStyle w:val="Hyperlink"/>
          </w:rPr>
          <w:t>about the AAFP</w:t>
        </w:r>
      </w:hyperlink>
    </w:p>
    <w:p w14:paraId="2DA56557" w14:textId="77777777" w:rsidR="006F3503" w:rsidRDefault="0031047E" w:rsidP="006F3503">
      <w:pPr>
        <w:pStyle w:val="NormalWeb"/>
      </w:pPr>
      <w:hyperlink r:id="rId13" w:history="1">
        <w:r w:rsidR="006F3503">
          <w:rPr>
            <w:rStyle w:val="Hyperlink"/>
          </w:rPr>
          <w:t>Florida Board of Nursing</w:t>
        </w:r>
      </w:hyperlink>
    </w:p>
    <w:p w14:paraId="3D2D75F3" w14:textId="77777777" w:rsidR="006F3503" w:rsidRPr="006F3503" w:rsidRDefault="006F3503" w:rsidP="006F3503">
      <w:pPr>
        <w:rPr>
          <w:rFonts w:eastAsia="Times New Roman"/>
        </w:rPr>
      </w:pPr>
      <w:r w:rsidRPr="006F3503">
        <w:rPr>
          <w:rFonts w:eastAsia="Times New Roman"/>
        </w:rPr>
        <w:t xml:space="preserve">The Florida Department of Health, through its Division of Medical Quality Assurance (MQA), determines that health care practitioners meet minimum competency requirements. The division, in conjunction with 22 boards and 6 councils, is responsible for regulatory activities of 200-plus license types in 41 health care professions and 8 types of facilities. MQA's three core business processes are the licensure of and enforcement of laws and rules governing Florida's 1,083,767 health care practitioners and facilities, as well as providing information and data to the public. </w:t>
      </w:r>
    </w:p>
    <w:p w14:paraId="1412BFB9" w14:textId="77777777" w:rsidR="006F3503" w:rsidRDefault="0031047E" w:rsidP="006F3503">
      <w:pPr>
        <w:pStyle w:val="NormalWeb"/>
      </w:pPr>
      <w:hyperlink r:id="rId14" w:history="1">
        <w:r w:rsidR="006F3503">
          <w:rPr>
            <w:rStyle w:val="Hyperlink"/>
          </w:rPr>
          <w:t>Health Finder</w:t>
        </w:r>
      </w:hyperlink>
    </w:p>
    <w:p w14:paraId="2E51EAE2" w14:textId="77777777" w:rsidR="006F3503" w:rsidRPr="006F3503" w:rsidRDefault="006F3503" w:rsidP="006F3503">
      <w:pPr>
        <w:rPr>
          <w:rFonts w:eastAsia="Times New Roman"/>
        </w:rPr>
      </w:pPr>
      <w:r w:rsidRPr="006F3503">
        <w:rPr>
          <w:rFonts w:eastAsia="Times New Roman"/>
        </w:rPr>
        <w:t>Health Finder is a government web site where you will find information and tools to help you and those you care about stay healthy.</w:t>
      </w:r>
    </w:p>
    <w:p w14:paraId="17ACAF4E" w14:textId="77777777" w:rsidR="006F3503" w:rsidRDefault="006F3503" w:rsidP="006F3503">
      <w:pPr>
        <w:rPr>
          <w:rFonts w:eastAsia="Times New Roman"/>
        </w:rPr>
      </w:pPr>
    </w:p>
    <w:p w14:paraId="56CDF696" w14:textId="77777777" w:rsidR="006F3503" w:rsidRDefault="0031047E" w:rsidP="006F3503">
      <w:pPr>
        <w:rPr>
          <w:rFonts w:eastAsia="Times New Roman"/>
        </w:rPr>
      </w:pPr>
      <w:hyperlink r:id="rId15" w:history="1">
        <w:r w:rsidR="006F3503">
          <w:rPr>
            <w:rStyle w:val="Hyperlink"/>
            <w:rFonts w:eastAsia="Times New Roman"/>
          </w:rPr>
          <w:t>Medline Plus</w:t>
        </w:r>
      </w:hyperlink>
    </w:p>
    <w:p w14:paraId="3679BBA0" w14:textId="77777777" w:rsidR="006F3503" w:rsidRDefault="006F3503" w:rsidP="006F3503">
      <w:pPr>
        <w:rPr>
          <w:rFonts w:eastAsia="Times New Roman"/>
        </w:rPr>
      </w:pPr>
    </w:p>
    <w:p w14:paraId="771FA883" w14:textId="77777777" w:rsidR="006F3503" w:rsidRDefault="006F3503" w:rsidP="006F3503">
      <w:pPr>
        <w:rPr>
          <w:rFonts w:eastAsia="Times New Roman"/>
        </w:rPr>
      </w:pPr>
      <w:r w:rsidRPr="006F3503">
        <w:rPr>
          <w:rFonts w:eastAsia="Times New Roman"/>
        </w:rPr>
        <w:t>Medline Plus is the National Institutes of Health's Web site for patients and their families and friends. Produced by the National Library of Medicine, it brings you information about diseases, conditions, and wellness issues in language you can understand. Medline Plus offers reliable, up-to-date health information, anytime, anywhere, and for free.</w:t>
      </w:r>
    </w:p>
    <w:p w14:paraId="14909D0F" w14:textId="77777777" w:rsidR="006F3503" w:rsidRDefault="006F3503" w:rsidP="006F3503">
      <w:pPr>
        <w:rPr>
          <w:rFonts w:eastAsia="Times New Roman"/>
        </w:rPr>
      </w:pPr>
    </w:p>
    <w:p w14:paraId="0AE5F87B" w14:textId="77777777" w:rsidR="006F3503" w:rsidRDefault="0031047E" w:rsidP="006F3503">
      <w:pPr>
        <w:rPr>
          <w:rFonts w:eastAsia="Times New Roman"/>
        </w:rPr>
      </w:pPr>
      <w:hyperlink r:id="rId16" w:history="1">
        <w:r w:rsidR="006F3503">
          <w:rPr>
            <w:rStyle w:val="Hyperlink"/>
            <w:rFonts w:eastAsia="Times New Roman"/>
          </w:rPr>
          <w:t>NIH Senior Health</w:t>
        </w:r>
      </w:hyperlink>
    </w:p>
    <w:p w14:paraId="337A4AB8" w14:textId="77777777" w:rsidR="006F3503" w:rsidRDefault="006F3503" w:rsidP="006F3503">
      <w:pPr>
        <w:rPr>
          <w:rFonts w:eastAsia="Times New Roman"/>
        </w:rPr>
      </w:pPr>
    </w:p>
    <w:p w14:paraId="75914BFB" w14:textId="77777777" w:rsidR="006F3503" w:rsidRPr="006F3503" w:rsidRDefault="006F3503" w:rsidP="006F3503">
      <w:pPr>
        <w:rPr>
          <w:rFonts w:eastAsia="Times New Roman"/>
        </w:rPr>
      </w:pPr>
      <w:r w:rsidRPr="006F3503">
        <w:rPr>
          <w:rFonts w:eastAsia="Times New Roman"/>
        </w:rPr>
        <w:t>NIHSeniorHealth features authoritative and up-to-date health information from Institutes and Centers at NIH. In addition, the American Geriatrics Society provides expert and independent review of some of the material found on this Web site. Health topics include general background information, open-captioned videos, quizzes and frequently asked questions (FAQs). New topics are added to the site on a regular basis.</w:t>
      </w:r>
    </w:p>
    <w:p w14:paraId="621CE5E6" w14:textId="77777777" w:rsidR="006F3503" w:rsidRPr="006F3503" w:rsidRDefault="006F3503" w:rsidP="006F3503">
      <w:pPr>
        <w:rPr>
          <w:rFonts w:eastAsia="Times New Roman"/>
        </w:rPr>
      </w:pPr>
    </w:p>
    <w:p w14:paraId="740FA141" w14:textId="0756A0AC" w:rsidR="00B46E2E" w:rsidRDefault="00B46E2E" w:rsidP="00B46E2E">
      <w:pPr>
        <w:rPr>
          <w:rFonts w:eastAsia="Times New Roman"/>
        </w:rPr>
      </w:pPr>
      <w:hyperlink r:id="rId17" w:history="1">
        <w:r>
          <w:rPr>
            <w:rStyle w:val="Hyperlink"/>
            <w:rFonts w:eastAsia="Times New Roman"/>
          </w:rPr>
          <w:t>Women's Health</w:t>
        </w:r>
      </w:hyperlink>
    </w:p>
    <w:p w14:paraId="5721DD14" w14:textId="77777777" w:rsidR="00B46E2E" w:rsidRDefault="00B46E2E" w:rsidP="00B46E2E">
      <w:pPr>
        <w:rPr>
          <w:rFonts w:eastAsia="Times New Roman"/>
        </w:rPr>
      </w:pPr>
    </w:p>
    <w:p w14:paraId="72334C90" w14:textId="77777777" w:rsidR="00B46E2E" w:rsidRPr="00B46E2E" w:rsidRDefault="00B46E2E" w:rsidP="00B46E2E">
      <w:pPr>
        <w:rPr>
          <w:rFonts w:eastAsia="Times New Roman"/>
        </w:rPr>
      </w:pPr>
      <w:r w:rsidRPr="00B46E2E">
        <w:rPr>
          <w:rFonts w:eastAsia="Times New Roman"/>
        </w:rPr>
        <w:t xml:space="preserve">The Office on Women's Health (OWH), part of the U.S. Department of Health and Human Services External link (HHS), works to improve the health and sense of well-being of all U.S. women and girls. OWH serves as the focal point for women's health activities within HHS offices and agencies. OWH leads programs to improve women's health and collaborates across HHS and with other partners on women's health activities. </w:t>
      </w:r>
    </w:p>
    <w:p w14:paraId="26D0FCCF" w14:textId="5D1D4F26" w:rsidR="008D7C4B" w:rsidRPr="008D7C4B" w:rsidRDefault="008D7C4B" w:rsidP="008D7C4B">
      <w:pPr>
        <w:pStyle w:val="NormalWeb"/>
        <w:tabs>
          <w:tab w:val="left" w:pos="3733"/>
        </w:tabs>
        <w:rPr>
          <w:sz w:val="36"/>
          <w:szCs w:val="36"/>
        </w:rPr>
      </w:pPr>
      <w:r>
        <w:rPr>
          <w:sz w:val="36"/>
          <w:szCs w:val="36"/>
        </w:rPr>
        <w:t>Nursing Statistics</w:t>
      </w:r>
      <w:r>
        <w:rPr>
          <w:sz w:val="36"/>
          <w:szCs w:val="36"/>
        </w:rPr>
        <w:tab/>
      </w:r>
    </w:p>
    <w:p w14:paraId="05E44B7F" w14:textId="06DE06A5" w:rsidR="008D7C4B" w:rsidRDefault="008D7C4B" w:rsidP="008D7C4B">
      <w:pPr>
        <w:rPr>
          <w:rFonts w:eastAsia="Times New Roman"/>
        </w:rPr>
      </w:pPr>
      <w:hyperlink r:id="rId18" w:history="1">
        <w:r>
          <w:rPr>
            <w:rStyle w:val="Hyperlink"/>
            <w:rFonts w:eastAsia="Times New Roman"/>
          </w:rPr>
          <w:t>Florida Charts</w:t>
        </w:r>
      </w:hyperlink>
    </w:p>
    <w:p w14:paraId="08CE24FE" w14:textId="77777777" w:rsidR="008D7C4B" w:rsidRDefault="008D7C4B" w:rsidP="008D7C4B">
      <w:pPr>
        <w:rPr>
          <w:rFonts w:eastAsia="Times New Roman"/>
        </w:rPr>
      </w:pPr>
    </w:p>
    <w:p w14:paraId="6E4B7FFC" w14:textId="77777777" w:rsidR="008D7C4B" w:rsidRPr="008D7C4B" w:rsidRDefault="008D7C4B" w:rsidP="008D7C4B">
      <w:pPr>
        <w:rPr>
          <w:rFonts w:eastAsia="Times New Roman"/>
        </w:rPr>
      </w:pPr>
      <w:r w:rsidRPr="008D7C4B">
        <w:rPr>
          <w:rFonts w:eastAsia="Times New Roman"/>
        </w:rPr>
        <w:t>The Florida Community Health Assessment Resource Tool Set (CHARTS) to find Florida health statistics that will help identify health problems in your community. Use CHARTS and navigate your way to better health!  Reports use Florida Vital Statistics and other data sets.</w:t>
      </w:r>
    </w:p>
    <w:p w14:paraId="384BC4E1" w14:textId="77777777" w:rsidR="008D7C4B" w:rsidRDefault="008D7C4B" w:rsidP="008D7C4B">
      <w:pPr>
        <w:rPr>
          <w:rFonts w:eastAsia="Times New Roman"/>
          <w:sz w:val="27"/>
          <w:szCs w:val="27"/>
        </w:rPr>
      </w:pPr>
    </w:p>
    <w:p w14:paraId="061528C7" w14:textId="77777777" w:rsidR="008D7C4B" w:rsidRDefault="008D7C4B" w:rsidP="008D7C4B">
      <w:pPr>
        <w:rPr>
          <w:rFonts w:eastAsia="Times New Roman"/>
        </w:rPr>
      </w:pPr>
    </w:p>
    <w:p w14:paraId="1DAC826A" w14:textId="1DD25FFB" w:rsidR="008D7C4B" w:rsidRDefault="008D7C4B" w:rsidP="008D7C4B">
      <w:pPr>
        <w:rPr>
          <w:rFonts w:eastAsia="Times New Roman"/>
        </w:rPr>
      </w:pPr>
      <w:hyperlink r:id="rId19" w:history="1">
        <w:r>
          <w:rPr>
            <w:rStyle w:val="Hyperlink"/>
            <w:rFonts w:eastAsia="Times New Roman"/>
          </w:rPr>
          <w:t>Health &amp; Nutrition: Health Care Resources</w:t>
        </w:r>
      </w:hyperlink>
    </w:p>
    <w:p w14:paraId="74CA0646" w14:textId="2AB8E425" w:rsidR="008D7C4B" w:rsidRDefault="008D7C4B" w:rsidP="008D7C4B">
      <w:pPr>
        <w:rPr>
          <w:rFonts w:eastAsia="Times New Roman"/>
        </w:rPr>
      </w:pPr>
    </w:p>
    <w:p w14:paraId="40167322" w14:textId="77777777" w:rsidR="008D7C4B" w:rsidRDefault="008D7C4B" w:rsidP="008D7C4B">
      <w:pPr>
        <w:rPr>
          <w:rFonts w:eastAsia="Times New Roman"/>
        </w:rPr>
      </w:pPr>
      <w:r w:rsidRPr="008D7C4B">
        <w:rPr>
          <w:rFonts w:eastAsia="Times New Roman"/>
        </w:rPr>
        <w:t>The U.S. government site for all data collected by the U.S. Census Bureau.</w:t>
      </w:r>
    </w:p>
    <w:p w14:paraId="26974794" w14:textId="04D81882" w:rsidR="008D7C4B" w:rsidRDefault="008D7C4B" w:rsidP="006F3503">
      <w:pPr>
        <w:pStyle w:val="NormalWeb"/>
        <w:rPr>
          <w:rFonts w:eastAsia="Times New Roman"/>
        </w:rPr>
      </w:pPr>
      <w:hyperlink r:id="rId20" w:history="1">
        <w:r>
          <w:rPr>
            <w:rStyle w:val="Hyperlink"/>
            <w:rFonts w:eastAsia="Times New Roman"/>
          </w:rPr>
          <w:t>Healthcare Cost and Utilization Project (HCUP)</w:t>
        </w:r>
      </w:hyperlink>
    </w:p>
    <w:p w14:paraId="3B74F53B" w14:textId="77777777" w:rsidR="008D7C4B" w:rsidRDefault="008D7C4B" w:rsidP="008D7C4B">
      <w:pPr>
        <w:rPr>
          <w:rFonts w:eastAsia="Times New Roman"/>
        </w:rPr>
      </w:pPr>
      <w:r>
        <w:rPr>
          <w:rFonts w:eastAsia="Times New Roman"/>
        </w:rPr>
        <w:t>HCUPnet is a free, on-line query system based on data from the Healthcare Cost and Utilization Project (HCUP). It provides access to health statistics and information on hospital inpatient and emergency department utilization.</w:t>
      </w:r>
    </w:p>
    <w:p w14:paraId="7130E713" w14:textId="77777777" w:rsidR="008D7C4B" w:rsidRDefault="008D7C4B" w:rsidP="008D7C4B">
      <w:pPr>
        <w:rPr>
          <w:rFonts w:eastAsia="Times New Roman"/>
        </w:rPr>
      </w:pPr>
    </w:p>
    <w:p w14:paraId="19E5143F" w14:textId="39A1E982" w:rsidR="008D7C4B" w:rsidRDefault="008D7C4B" w:rsidP="008D7C4B">
      <w:pPr>
        <w:rPr>
          <w:rFonts w:eastAsia="Times New Roman"/>
        </w:rPr>
      </w:pPr>
      <w:hyperlink r:id="rId21" w:history="1">
        <w:r>
          <w:rPr>
            <w:rStyle w:val="Hyperlink"/>
            <w:rFonts w:eastAsia="Times New Roman"/>
          </w:rPr>
          <w:t>National Center for Health Statistics</w:t>
        </w:r>
      </w:hyperlink>
    </w:p>
    <w:p w14:paraId="044670D5" w14:textId="77777777" w:rsidR="008D7C4B" w:rsidRDefault="008D7C4B" w:rsidP="008D7C4B">
      <w:pPr>
        <w:rPr>
          <w:rFonts w:eastAsia="Times New Roman"/>
        </w:rPr>
      </w:pPr>
    </w:p>
    <w:p w14:paraId="1E533BAE" w14:textId="77777777" w:rsidR="008D7C4B" w:rsidRDefault="008D7C4B" w:rsidP="008D7C4B">
      <w:pPr>
        <w:rPr>
          <w:rFonts w:eastAsia="Times New Roman"/>
        </w:rPr>
      </w:pPr>
      <w:r w:rsidRPr="008D7C4B">
        <w:rPr>
          <w:rFonts w:eastAsia="Times New Roman"/>
        </w:rPr>
        <w:t>The U.S. Federal Government's principal vital and health statistics agency</w:t>
      </w:r>
    </w:p>
    <w:p w14:paraId="1387EBE8" w14:textId="77777777" w:rsidR="008D7C4B" w:rsidRDefault="008D7C4B" w:rsidP="008D7C4B">
      <w:pPr>
        <w:rPr>
          <w:rFonts w:eastAsia="Times New Roman"/>
        </w:rPr>
      </w:pPr>
    </w:p>
    <w:p w14:paraId="6071E84A" w14:textId="77777777" w:rsidR="008D7C4B" w:rsidRDefault="008D7C4B" w:rsidP="008D7C4B">
      <w:pPr>
        <w:rPr>
          <w:rFonts w:eastAsia="Times New Roman"/>
        </w:rPr>
      </w:pPr>
    </w:p>
    <w:p w14:paraId="12089DB5" w14:textId="0832B021" w:rsidR="008D7C4B" w:rsidRPr="008D7C4B" w:rsidRDefault="008D7C4B" w:rsidP="008D7C4B">
      <w:pPr>
        <w:rPr>
          <w:rFonts w:eastAsia="Times New Roman"/>
          <w:b/>
          <w:sz w:val="36"/>
          <w:szCs w:val="36"/>
        </w:rPr>
      </w:pPr>
      <w:r w:rsidRPr="008D7C4B">
        <w:rPr>
          <w:rFonts w:eastAsia="Times New Roman"/>
          <w:b/>
          <w:sz w:val="36"/>
          <w:szCs w:val="36"/>
        </w:rPr>
        <w:t xml:space="preserve">Pharmology </w:t>
      </w:r>
    </w:p>
    <w:p w14:paraId="6F96D33D" w14:textId="4F8E9335" w:rsidR="008D7C4B" w:rsidRDefault="008D7C4B" w:rsidP="008D7C4B">
      <w:pPr>
        <w:pStyle w:val="NormalWeb"/>
      </w:pPr>
      <w:hyperlink r:id="rId22" w:history="1">
        <w:r>
          <w:rPr>
            <w:rStyle w:val="Hyperlink"/>
          </w:rPr>
          <w:t>Drug Digest</w:t>
        </w:r>
      </w:hyperlink>
    </w:p>
    <w:p w14:paraId="0169DE80" w14:textId="6C26A7C9" w:rsidR="008D7C4B" w:rsidRPr="008D7C4B" w:rsidRDefault="008D7C4B" w:rsidP="008D7C4B">
      <w:pPr>
        <w:pStyle w:val="NormalWeb"/>
      </w:pPr>
      <w:r>
        <w:t>DrugDigest is the most comprehensive source of noncommercial, evidence-based, consumer-oriented drug information on the Internet.</w:t>
      </w:r>
    </w:p>
    <w:p w14:paraId="558990F7" w14:textId="133E65F3" w:rsidR="008D7C4B" w:rsidRDefault="008D7C4B" w:rsidP="008D7C4B">
      <w:pPr>
        <w:rPr>
          <w:rFonts w:eastAsia="Times New Roman"/>
        </w:rPr>
      </w:pPr>
      <w:hyperlink r:id="rId23" w:history="1">
        <w:r>
          <w:rPr>
            <w:rStyle w:val="Hyperlink"/>
            <w:rFonts w:eastAsia="Times New Roman"/>
          </w:rPr>
          <w:t>Drug Information Portal</w:t>
        </w:r>
      </w:hyperlink>
    </w:p>
    <w:p w14:paraId="198B43FA" w14:textId="77777777" w:rsidR="008D7C4B" w:rsidRDefault="008D7C4B" w:rsidP="008D7C4B">
      <w:pPr>
        <w:rPr>
          <w:rFonts w:eastAsia="Times New Roman"/>
        </w:rPr>
      </w:pPr>
    </w:p>
    <w:p w14:paraId="79F8638B" w14:textId="5A448E59" w:rsidR="008D7C4B" w:rsidRPr="008D7C4B" w:rsidRDefault="008D7C4B" w:rsidP="008D7C4B">
      <w:pPr>
        <w:rPr>
          <w:rFonts w:eastAsia="Times New Roman"/>
        </w:rPr>
      </w:pPr>
      <w:r>
        <w:rPr>
          <w:rFonts w:eastAsia="Times New Roman"/>
        </w:rPr>
        <w:t xml:space="preserve">The NLM Drug Information Portal gives users a gateway to selected drug information from the U.S. National Library of Medicine and other key U.S. Government agencies.   At the top of the page are links to individual resources with potential drug information, including summaries tailored to various audiences.   Resources include the NLM search systems useful in searching for a drug, NLM research resources, resources organized by audience and class, and other NIH and government resources such as FDA and CDC. </w:t>
      </w:r>
      <w:r>
        <w:rPr>
          <w:rFonts w:eastAsia="Times New Roman"/>
        </w:rPr>
        <w:br/>
      </w:r>
      <w:r>
        <w:rPr>
          <w:rFonts w:eastAsia="Times New Roman"/>
        </w:rPr>
        <w:br/>
        <w:t>The search box in the middle of the page lets you search many of these resources simultaneously.  More than 31,000 drugs can be searched using this facility.   The portal covers drugs from the time they are entered into clinical trials (Clinicaltrials.gov) through their entry in the U.S. market place (Drugs@FDA).   Many drugs in other countries are covered, but not as thoroughly as U.S. drugs.  The PubMed link provides medical literature describing research, and TOXLINE provides toxicology literature.   Resources such as MedlinePlus provide easy to read summaries of the uses and efficacy of a drug.</w:t>
      </w:r>
    </w:p>
    <w:p w14:paraId="1315D0F7" w14:textId="46FE4508" w:rsidR="008D7C4B" w:rsidRDefault="008D7C4B" w:rsidP="008D7C4B">
      <w:pPr>
        <w:spacing w:before="100" w:beforeAutospacing="1" w:after="100" w:afterAutospacing="1"/>
      </w:pPr>
      <w:hyperlink r:id="rId24" w:history="1">
        <w:r>
          <w:rPr>
            <w:rStyle w:val="Hyperlink"/>
          </w:rPr>
          <w:t>Pill Box</w:t>
        </w:r>
      </w:hyperlink>
    </w:p>
    <w:p w14:paraId="12152F9E" w14:textId="79F7D1E6" w:rsidR="008D7C4B" w:rsidRPr="009A245C" w:rsidRDefault="008D7C4B" w:rsidP="009A245C">
      <w:pPr>
        <w:spacing w:before="100" w:beforeAutospacing="1" w:after="100" w:afterAutospacing="1"/>
      </w:pPr>
      <w:r w:rsidRPr="008D7C4B">
        <w:t>Pillbox was developed to aid in the identification of unknown solid dosage pharmaceuticals. The system combines high-resolution images of tablets and capsules with appearance information (imprint, shape, color, etc.) to enable users to visually search for and identify an unknown solid dosage pharmaceutical.</w:t>
      </w:r>
      <w:r w:rsidRPr="008D7C4B">
        <w:br/>
      </w:r>
      <w:r w:rsidRPr="008D7C4B">
        <w:br/>
        <w:t>This system is designed for use by emergency physicians, first responders, other health care providers, Poison Control Center staff, and concerned citizens.</w:t>
      </w:r>
      <w:r w:rsidRPr="008D7C4B">
        <w:br/>
      </w:r>
      <w:r w:rsidRPr="008D7C4B">
        <w:br/>
        <w:t>The system enables users to identify solid dosage forms based on physical criteria: imprint (characters or number printed on a medication), shape, color, size, and scoring. Users are shown thumbnail images of possible matches. These images are continually updated as the user enters additional information.</w:t>
      </w:r>
      <w:r w:rsidRPr="008D7C4B">
        <w:br/>
      </w:r>
      <w:r w:rsidRPr="008D7C4B">
        <w:br/>
        <w:t>Once a solid dosage form has been identified, additional information is provided, including brand/generic name, ingredients, and the National Drug File identification number. Links are provided to NLM drug information resources, such as drug labels (</w:t>
      </w:r>
      <w:hyperlink r:id="rId25" w:history="1">
        <w:r w:rsidRPr="008D7C4B">
          <w:rPr>
            <w:color w:val="0000FF"/>
            <w:u w:val="single"/>
          </w:rPr>
          <w:t>DailyMed</w:t>
        </w:r>
      </w:hyperlink>
      <w:r w:rsidRPr="008D7C4B">
        <w:t xml:space="preserve">) and the </w:t>
      </w:r>
      <w:hyperlink r:id="rId26" w:history="1">
        <w:r w:rsidRPr="008D7C4B">
          <w:rPr>
            <w:color w:val="0000FF"/>
            <w:u w:val="single"/>
          </w:rPr>
          <w:t>Drug Information Portal</w:t>
        </w:r>
      </w:hyperlink>
      <w:r w:rsidRPr="008D7C4B">
        <w:t>, which searches all NLM drug information resources.</w:t>
      </w:r>
    </w:p>
    <w:p w14:paraId="301D955D" w14:textId="77777777" w:rsidR="009A245C" w:rsidRPr="009A245C" w:rsidRDefault="009A245C" w:rsidP="009A245C">
      <w:pPr>
        <w:spacing w:before="100" w:beforeAutospacing="1" w:after="100" w:afterAutospacing="1"/>
        <w:outlineLvl w:val="0"/>
        <w:rPr>
          <w:rFonts w:eastAsia="Times New Roman"/>
          <w:b/>
          <w:bCs/>
          <w:kern w:val="36"/>
          <w:sz w:val="36"/>
          <w:szCs w:val="36"/>
        </w:rPr>
      </w:pPr>
      <w:r w:rsidRPr="009A245C">
        <w:rPr>
          <w:rFonts w:eastAsia="Times New Roman"/>
          <w:b/>
          <w:bCs/>
          <w:color w:val="000000"/>
          <w:kern w:val="36"/>
          <w:sz w:val="36"/>
          <w:szCs w:val="36"/>
        </w:rPr>
        <w:t>Professional Nursing Associations</w:t>
      </w:r>
      <w:r w:rsidRPr="009A245C">
        <w:rPr>
          <w:rFonts w:eastAsia="Times New Roman"/>
          <w:b/>
          <w:bCs/>
          <w:kern w:val="36"/>
          <w:sz w:val="36"/>
          <w:szCs w:val="36"/>
        </w:rPr>
        <w:t xml:space="preserve"> </w:t>
      </w:r>
    </w:p>
    <w:p w14:paraId="6CC1963B" w14:textId="358DFAA1" w:rsidR="009A245C" w:rsidRDefault="009A245C" w:rsidP="009A245C">
      <w:pPr>
        <w:rPr>
          <w:rFonts w:eastAsia="Times New Roman"/>
        </w:rPr>
      </w:pPr>
      <w:hyperlink r:id="rId27" w:history="1">
        <w:r>
          <w:rPr>
            <w:rStyle w:val="Hyperlink"/>
            <w:rFonts w:eastAsia="Times New Roman"/>
          </w:rPr>
          <w:t>American Academy of Nurse Practitioners</w:t>
        </w:r>
      </w:hyperlink>
    </w:p>
    <w:p w14:paraId="59AD3950" w14:textId="77777777" w:rsidR="009A245C" w:rsidRDefault="009A245C" w:rsidP="009A245C">
      <w:pPr>
        <w:rPr>
          <w:rFonts w:eastAsia="Times New Roman"/>
        </w:rPr>
      </w:pPr>
    </w:p>
    <w:p w14:paraId="194E528C" w14:textId="77777777" w:rsidR="009A245C" w:rsidRDefault="009A245C" w:rsidP="009A245C">
      <w:pPr>
        <w:rPr>
          <w:rFonts w:eastAsia="Times New Roman"/>
        </w:rPr>
      </w:pPr>
      <w:r>
        <w:rPr>
          <w:rFonts w:eastAsia="Times New Roman"/>
        </w:rPr>
        <w:t>The American Academy of Nurse Practitioners (AANP) is the largest and only full-service national professional membership organization for nurse practitioners (NPs) of all specialties.</w:t>
      </w:r>
    </w:p>
    <w:p w14:paraId="15EC7F12" w14:textId="77777777" w:rsidR="006F3503" w:rsidRPr="006F3503" w:rsidRDefault="006F3503" w:rsidP="006F3503">
      <w:pPr>
        <w:rPr>
          <w:rFonts w:eastAsia="Times New Roman"/>
        </w:rPr>
      </w:pPr>
    </w:p>
    <w:p w14:paraId="3DA1FC4C" w14:textId="554934A6" w:rsidR="009A245C" w:rsidRDefault="004479BC" w:rsidP="009A245C">
      <w:pPr>
        <w:rPr>
          <w:rFonts w:eastAsia="Times New Roman"/>
        </w:rPr>
      </w:pPr>
      <w:hyperlink r:id="rId28" w:history="1">
        <w:r>
          <w:rPr>
            <w:rStyle w:val="Hyperlink"/>
            <w:rFonts w:eastAsia="Times New Roman"/>
          </w:rPr>
          <w:t>American Nurses Association</w:t>
        </w:r>
      </w:hyperlink>
    </w:p>
    <w:p w14:paraId="0A58D2BE" w14:textId="77777777" w:rsidR="009A245C" w:rsidRDefault="009A245C" w:rsidP="009A245C">
      <w:pPr>
        <w:rPr>
          <w:rFonts w:eastAsia="Times New Roman"/>
        </w:rPr>
      </w:pPr>
    </w:p>
    <w:p w14:paraId="107A447C" w14:textId="77777777" w:rsidR="009A245C" w:rsidRDefault="009A245C" w:rsidP="009A245C">
      <w:pPr>
        <w:rPr>
          <w:rFonts w:eastAsia="Times New Roman"/>
        </w:rPr>
      </w:pPr>
      <w:r>
        <w:rPr>
          <w:rFonts w:eastAsia="Times New Roman"/>
        </w:rPr>
        <w:t>The American Nurses Association (ANA) is the only full-service professional organization representing the interests of the nation's 3.1 million registered nurses through its constituent and state nurses associations and its organizational affiliates. The ANA advances the nursing profession by fostering high standards of nursing practice, promoting the rights of nurses in the workplace, projecting a positive and realistic view of nursing, and by lobbying the Congress and regulatory agencies on health care issues affecting nurses and the public.</w:t>
      </w:r>
    </w:p>
    <w:p w14:paraId="38056472" w14:textId="7D38001F" w:rsidR="004479BC" w:rsidRDefault="004479BC" w:rsidP="006F3503">
      <w:pPr>
        <w:pStyle w:val="NormalWeb"/>
      </w:pPr>
      <w:hyperlink r:id="rId29" w:history="1">
        <w:r>
          <w:rPr>
            <w:rStyle w:val="Hyperlink"/>
          </w:rPr>
          <w:t>American Academy of Ambulatory Care Nursing</w:t>
        </w:r>
      </w:hyperlink>
    </w:p>
    <w:p w14:paraId="30595231" w14:textId="77777777" w:rsidR="004479BC" w:rsidRDefault="004479BC" w:rsidP="004479BC">
      <w:pPr>
        <w:rPr>
          <w:rFonts w:eastAsia="Times New Roman"/>
        </w:rPr>
      </w:pPr>
      <w:r>
        <w:rPr>
          <w:rFonts w:eastAsia="Times New Roman"/>
        </w:rPr>
        <w:t>AAACN (formerly the American Academy of Ambulatory Nursing Administration) was founded in 1978 as a not for profit, educational forum. In 1993, the organization's name was changed to the American Academy of Ambulatory Care Nursing (AAACN). Membership was broadened to include nurses in direct practice, education, and research roles as well as those in management and administration. Today, membership is open to nurses and other professionals interested in ambulatory care and telehealth nursing. Corporations and individual corporate representatives are also welcomed as members. AAACN is the only specialty nursing association that focuses on excellence in ambulatory care.</w:t>
      </w:r>
    </w:p>
    <w:p w14:paraId="373BD758" w14:textId="77777777" w:rsidR="006F3503" w:rsidRDefault="006F3503">
      <w:bookmarkStart w:id="0" w:name="_GoBack"/>
      <w:bookmarkEnd w:id="0"/>
    </w:p>
    <w:p w14:paraId="0DC11813" w14:textId="77777777" w:rsidR="006F3503" w:rsidRDefault="006F3503"/>
    <w:sectPr w:rsidR="006F3503" w:rsidSect="003D0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9B3F6" w14:textId="77777777" w:rsidR="0031047E" w:rsidRDefault="0031047E" w:rsidP="006F3503">
      <w:r>
        <w:separator/>
      </w:r>
    </w:p>
  </w:endnote>
  <w:endnote w:type="continuationSeparator" w:id="0">
    <w:p w14:paraId="5ACDF163" w14:textId="77777777" w:rsidR="0031047E" w:rsidRDefault="0031047E" w:rsidP="006F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E0630" w14:textId="77777777" w:rsidR="0031047E" w:rsidRDefault="0031047E" w:rsidP="006F3503">
      <w:r>
        <w:separator/>
      </w:r>
    </w:p>
  </w:footnote>
  <w:footnote w:type="continuationSeparator" w:id="0">
    <w:p w14:paraId="1F20FA0C" w14:textId="77777777" w:rsidR="0031047E" w:rsidRDefault="0031047E" w:rsidP="006F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03"/>
    <w:rsid w:val="0031047E"/>
    <w:rsid w:val="003D0EB1"/>
    <w:rsid w:val="004479BC"/>
    <w:rsid w:val="005158B0"/>
    <w:rsid w:val="006F3503"/>
    <w:rsid w:val="008D7C4B"/>
    <w:rsid w:val="009A245C"/>
    <w:rsid w:val="00AB08AA"/>
    <w:rsid w:val="00B4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385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4B"/>
    <w:rPr>
      <w:rFonts w:cs="Times New Roman"/>
    </w:rPr>
  </w:style>
  <w:style w:type="paragraph" w:styleId="Heading1">
    <w:name w:val="heading 1"/>
    <w:basedOn w:val="Normal"/>
    <w:link w:val="Heading1Char"/>
    <w:uiPriority w:val="9"/>
    <w:qFormat/>
    <w:rsid w:val="009A245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503"/>
    <w:rPr>
      <w:color w:val="0563C1" w:themeColor="hyperlink"/>
      <w:u w:val="single"/>
    </w:rPr>
  </w:style>
  <w:style w:type="paragraph" w:styleId="NormalWeb">
    <w:name w:val="Normal (Web)"/>
    <w:basedOn w:val="Normal"/>
    <w:uiPriority w:val="99"/>
    <w:unhideWhenUsed/>
    <w:rsid w:val="006F3503"/>
    <w:pPr>
      <w:spacing w:before="100" w:beforeAutospacing="1" w:after="100" w:afterAutospacing="1"/>
    </w:pPr>
  </w:style>
  <w:style w:type="paragraph" w:styleId="Header">
    <w:name w:val="header"/>
    <w:basedOn w:val="Normal"/>
    <w:link w:val="HeaderChar"/>
    <w:uiPriority w:val="99"/>
    <w:unhideWhenUsed/>
    <w:rsid w:val="006F3503"/>
    <w:pPr>
      <w:tabs>
        <w:tab w:val="center" w:pos="4680"/>
        <w:tab w:val="right" w:pos="9360"/>
      </w:tabs>
    </w:pPr>
    <w:rPr>
      <w:rFonts w:cstheme="minorBidi"/>
    </w:rPr>
  </w:style>
  <w:style w:type="character" w:customStyle="1" w:styleId="HeaderChar">
    <w:name w:val="Header Char"/>
    <w:basedOn w:val="DefaultParagraphFont"/>
    <w:link w:val="Header"/>
    <w:uiPriority w:val="99"/>
    <w:rsid w:val="006F3503"/>
  </w:style>
  <w:style w:type="paragraph" w:styleId="Footer">
    <w:name w:val="footer"/>
    <w:basedOn w:val="Normal"/>
    <w:link w:val="FooterChar"/>
    <w:uiPriority w:val="99"/>
    <w:unhideWhenUsed/>
    <w:rsid w:val="006F3503"/>
    <w:pPr>
      <w:tabs>
        <w:tab w:val="center" w:pos="4680"/>
        <w:tab w:val="right" w:pos="9360"/>
      </w:tabs>
    </w:pPr>
    <w:rPr>
      <w:rFonts w:cstheme="minorBidi"/>
    </w:rPr>
  </w:style>
  <w:style w:type="character" w:customStyle="1" w:styleId="FooterChar">
    <w:name w:val="Footer Char"/>
    <w:basedOn w:val="DefaultParagraphFont"/>
    <w:link w:val="Footer"/>
    <w:uiPriority w:val="99"/>
    <w:rsid w:val="006F3503"/>
  </w:style>
  <w:style w:type="character" w:customStyle="1" w:styleId="Heading1Char">
    <w:name w:val="Heading 1 Char"/>
    <w:basedOn w:val="DefaultParagraphFont"/>
    <w:link w:val="Heading1"/>
    <w:uiPriority w:val="9"/>
    <w:rsid w:val="009A245C"/>
    <w:rPr>
      <w:rFonts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8197">
      <w:bodyDiv w:val="1"/>
      <w:marLeft w:val="0"/>
      <w:marRight w:val="0"/>
      <w:marTop w:val="0"/>
      <w:marBottom w:val="0"/>
      <w:divBdr>
        <w:top w:val="none" w:sz="0" w:space="0" w:color="auto"/>
        <w:left w:val="none" w:sz="0" w:space="0" w:color="auto"/>
        <w:bottom w:val="none" w:sz="0" w:space="0" w:color="auto"/>
        <w:right w:val="none" w:sz="0" w:space="0" w:color="auto"/>
      </w:divBdr>
    </w:div>
    <w:div w:id="80223537">
      <w:bodyDiv w:val="1"/>
      <w:marLeft w:val="0"/>
      <w:marRight w:val="0"/>
      <w:marTop w:val="0"/>
      <w:marBottom w:val="0"/>
      <w:divBdr>
        <w:top w:val="none" w:sz="0" w:space="0" w:color="auto"/>
        <w:left w:val="none" w:sz="0" w:space="0" w:color="auto"/>
        <w:bottom w:val="none" w:sz="0" w:space="0" w:color="auto"/>
        <w:right w:val="none" w:sz="0" w:space="0" w:color="auto"/>
      </w:divBdr>
    </w:div>
    <w:div w:id="192496355">
      <w:bodyDiv w:val="1"/>
      <w:marLeft w:val="0"/>
      <w:marRight w:val="0"/>
      <w:marTop w:val="0"/>
      <w:marBottom w:val="0"/>
      <w:divBdr>
        <w:top w:val="none" w:sz="0" w:space="0" w:color="auto"/>
        <w:left w:val="none" w:sz="0" w:space="0" w:color="auto"/>
        <w:bottom w:val="none" w:sz="0" w:space="0" w:color="auto"/>
        <w:right w:val="none" w:sz="0" w:space="0" w:color="auto"/>
      </w:divBdr>
    </w:div>
    <w:div w:id="205531288">
      <w:bodyDiv w:val="1"/>
      <w:marLeft w:val="0"/>
      <w:marRight w:val="0"/>
      <w:marTop w:val="0"/>
      <w:marBottom w:val="0"/>
      <w:divBdr>
        <w:top w:val="none" w:sz="0" w:space="0" w:color="auto"/>
        <w:left w:val="none" w:sz="0" w:space="0" w:color="auto"/>
        <w:bottom w:val="none" w:sz="0" w:space="0" w:color="auto"/>
        <w:right w:val="none" w:sz="0" w:space="0" w:color="auto"/>
      </w:divBdr>
    </w:div>
    <w:div w:id="345718120">
      <w:bodyDiv w:val="1"/>
      <w:marLeft w:val="0"/>
      <w:marRight w:val="0"/>
      <w:marTop w:val="0"/>
      <w:marBottom w:val="0"/>
      <w:divBdr>
        <w:top w:val="none" w:sz="0" w:space="0" w:color="auto"/>
        <w:left w:val="none" w:sz="0" w:space="0" w:color="auto"/>
        <w:bottom w:val="none" w:sz="0" w:space="0" w:color="auto"/>
        <w:right w:val="none" w:sz="0" w:space="0" w:color="auto"/>
      </w:divBdr>
    </w:div>
    <w:div w:id="498891385">
      <w:bodyDiv w:val="1"/>
      <w:marLeft w:val="0"/>
      <w:marRight w:val="0"/>
      <w:marTop w:val="0"/>
      <w:marBottom w:val="0"/>
      <w:divBdr>
        <w:top w:val="none" w:sz="0" w:space="0" w:color="auto"/>
        <w:left w:val="none" w:sz="0" w:space="0" w:color="auto"/>
        <w:bottom w:val="none" w:sz="0" w:space="0" w:color="auto"/>
        <w:right w:val="none" w:sz="0" w:space="0" w:color="auto"/>
      </w:divBdr>
    </w:div>
    <w:div w:id="607665053">
      <w:bodyDiv w:val="1"/>
      <w:marLeft w:val="0"/>
      <w:marRight w:val="0"/>
      <w:marTop w:val="0"/>
      <w:marBottom w:val="0"/>
      <w:divBdr>
        <w:top w:val="none" w:sz="0" w:space="0" w:color="auto"/>
        <w:left w:val="none" w:sz="0" w:space="0" w:color="auto"/>
        <w:bottom w:val="none" w:sz="0" w:space="0" w:color="auto"/>
        <w:right w:val="none" w:sz="0" w:space="0" w:color="auto"/>
      </w:divBdr>
    </w:div>
    <w:div w:id="632515444">
      <w:bodyDiv w:val="1"/>
      <w:marLeft w:val="0"/>
      <w:marRight w:val="0"/>
      <w:marTop w:val="0"/>
      <w:marBottom w:val="0"/>
      <w:divBdr>
        <w:top w:val="none" w:sz="0" w:space="0" w:color="auto"/>
        <w:left w:val="none" w:sz="0" w:space="0" w:color="auto"/>
        <w:bottom w:val="none" w:sz="0" w:space="0" w:color="auto"/>
        <w:right w:val="none" w:sz="0" w:space="0" w:color="auto"/>
      </w:divBdr>
    </w:div>
    <w:div w:id="763845764">
      <w:bodyDiv w:val="1"/>
      <w:marLeft w:val="0"/>
      <w:marRight w:val="0"/>
      <w:marTop w:val="0"/>
      <w:marBottom w:val="0"/>
      <w:divBdr>
        <w:top w:val="none" w:sz="0" w:space="0" w:color="auto"/>
        <w:left w:val="none" w:sz="0" w:space="0" w:color="auto"/>
        <w:bottom w:val="none" w:sz="0" w:space="0" w:color="auto"/>
        <w:right w:val="none" w:sz="0" w:space="0" w:color="auto"/>
      </w:divBdr>
    </w:div>
    <w:div w:id="842671016">
      <w:bodyDiv w:val="1"/>
      <w:marLeft w:val="0"/>
      <w:marRight w:val="0"/>
      <w:marTop w:val="0"/>
      <w:marBottom w:val="0"/>
      <w:divBdr>
        <w:top w:val="none" w:sz="0" w:space="0" w:color="auto"/>
        <w:left w:val="none" w:sz="0" w:space="0" w:color="auto"/>
        <w:bottom w:val="none" w:sz="0" w:space="0" w:color="auto"/>
        <w:right w:val="none" w:sz="0" w:space="0" w:color="auto"/>
      </w:divBdr>
    </w:div>
    <w:div w:id="882715450">
      <w:bodyDiv w:val="1"/>
      <w:marLeft w:val="0"/>
      <w:marRight w:val="0"/>
      <w:marTop w:val="0"/>
      <w:marBottom w:val="0"/>
      <w:divBdr>
        <w:top w:val="none" w:sz="0" w:space="0" w:color="auto"/>
        <w:left w:val="none" w:sz="0" w:space="0" w:color="auto"/>
        <w:bottom w:val="none" w:sz="0" w:space="0" w:color="auto"/>
        <w:right w:val="none" w:sz="0" w:space="0" w:color="auto"/>
      </w:divBdr>
    </w:div>
    <w:div w:id="1153373627">
      <w:bodyDiv w:val="1"/>
      <w:marLeft w:val="0"/>
      <w:marRight w:val="0"/>
      <w:marTop w:val="0"/>
      <w:marBottom w:val="0"/>
      <w:divBdr>
        <w:top w:val="none" w:sz="0" w:space="0" w:color="auto"/>
        <w:left w:val="none" w:sz="0" w:space="0" w:color="auto"/>
        <w:bottom w:val="none" w:sz="0" w:space="0" w:color="auto"/>
        <w:right w:val="none" w:sz="0" w:space="0" w:color="auto"/>
      </w:divBdr>
    </w:div>
    <w:div w:id="1186678963">
      <w:bodyDiv w:val="1"/>
      <w:marLeft w:val="0"/>
      <w:marRight w:val="0"/>
      <w:marTop w:val="0"/>
      <w:marBottom w:val="0"/>
      <w:divBdr>
        <w:top w:val="none" w:sz="0" w:space="0" w:color="auto"/>
        <w:left w:val="none" w:sz="0" w:space="0" w:color="auto"/>
        <w:bottom w:val="none" w:sz="0" w:space="0" w:color="auto"/>
        <w:right w:val="none" w:sz="0" w:space="0" w:color="auto"/>
      </w:divBdr>
    </w:div>
    <w:div w:id="1195732630">
      <w:bodyDiv w:val="1"/>
      <w:marLeft w:val="0"/>
      <w:marRight w:val="0"/>
      <w:marTop w:val="0"/>
      <w:marBottom w:val="0"/>
      <w:divBdr>
        <w:top w:val="none" w:sz="0" w:space="0" w:color="auto"/>
        <w:left w:val="none" w:sz="0" w:space="0" w:color="auto"/>
        <w:bottom w:val="none" w:sz="0" w:space="0" w:color="auto"/>
        <w:right w:val="none" w:sz="0" w:space="0" w:color="auto"/>
      </w:divBdr>
    </w:div>
    <w:div w:id="1366710289">
      <w:bodyDiv w:val="1"/>
      <w:marLeft w:val="0"/>
      <w:marRight w:val="0"/>
      <w:marTop w:val="0"/>
      <w:marBottom w:val="0"/>
      <w:divBdr>
        <w:top w:val="none" w:sz="0" w:space="0" w:color="auto"/>
        <w:left w:val="none" w:sz="0" w:space="0" w:color="auto"/>
        <w:bottom w:val="none" w:sz="0" w:space="0" w:color="auto"/>
        <w:right w:val="none" w:sz="0" w:space="0" w:color="auto"/>
      </w:divBdr>
    </w:div>
    <w:div w:id="1442803447">
      <w:bodyDiv w:val="1"/>
      <w:marLeft w:val="0"/>
      <w:marRight w:val="0"/>
      <w:marTop w:val="0"/>
      <w:marBottom w:val="0"/>
      <w:divBdr>
        <w:top w:val="none" w:sz="0" w:space="0" w:color="auto"/>
        <w:left w:val="none" w:sz="0" w:space="0" w:color="auto"/>
        <w:bottom w:val="none" w:sz="0" w:space="0" w:color="auto"/>
        <w:right w:val="none" w:sz="0" w:space="0" w:color="auto"/>
      </w:divBdr>
    </w:div>
    <w:div w:id="1606035976">
      <w:bodyDiv w:val="1"/>
      <w:marLeft w:val="0"/>
      <w:marRight w:val="0"/>
      <w:marTop w:val="0"/>
      <w:marBottom w:val="0"/>
      <w:divBdr>
        <w:top w:val="none" w:sz="0" w:space="0" w:color="auto"/>
        <w:left w:val="none" w:sz="0" w:space="0" w:color="auto"/>
        <w:bottom w:val="none" w:sz="0" w:space="0" w:color="auto"/>
        <w:right w:val="none" w:sz="0" w:space="0" w:color="auto"/>
      </w:divBdr>
    </w:div>
    <w:div w:id="1616793117">
      <w:bodyDiv w:val="1"/>
      <w:marLeft w:val="0"/>
      <w:marRight w:val="0"/>
      <w:marTop w:val="0"/>
      <w:marBottom w:val="0"/>
      <w:divBdr>
        <w:top w:val="none" w:sz="0" w:space="0" w:color="auto"/>
        <w:left w:val="none" w:sz="0" w:space="0" w:color="auto"/>
        <w:bottom w:val="none" w:sz="0" w:space="0" w:color="auto"/>
        <w:right w:val="none" w:sz="0" w:space="0" w:color="auto"/>
      </w:divBdr>
    </w:div>
    <w:div w:id="1682464055">
      <w:bodyDiv w:val="1"/>
      <w:marLeft w:val="0"/>
      <w:marRight w:val="0"/>
      <w:marTop w:val="0"/>
      <w:marBottom w:val="0"/>
      <w:divBdr>
        <w:top w:val="none" w:sz="0" w:space="0" w:color="auto"/>
        <w:left w:val="none" w:sz="0" w:space="0" w:color="auto"/>
        <w:bottom w:val="none" w:sz="0" w:space="0" w:color="auto"/>
        <w:right w:val="none" w:sz="0" w:space="0" w:color="auto"/>
      </w:divBdr>
    </w:div>
    <w:div w:id="1697004865">
      <w:bodyDiv w:val="1"/>
      <w:marLeft w:val="0"/>
      <w:marRight w:val="0"/>
      <w:marTop w:val="0"/>
      <w:marBottom w:val="0"/>
      <w:divBdr>
        <w:top w:val="none" w:sz="0" w:space="0" w:color="auto"/>
        <w:left w:val="none" w:sz="0" w:space="0" w:color="auto"/>
        <w:bottom w:val="none" w:sz="0" w:space="0" w:color="auto"/>
        <w:right w:val="none" w:sz="0" w:space="0" w:color="auto"/>
      </w:divBdr>
    </w:div>
    <w:div w:id="1981495538">
      <w:bodyDiv w:val="1"/>
      <w:marLeft w:val="0"/>
      <w:marRight w:val="0"/>
      <w:marTop w:val="0"/>
      <w:marBottom w:val="0"/>
      <w:divBdr>
        <w:top w:val="none" w:sz="0" w:space="0" w:color="auto"/>
        <w:left w:val="none" w:sz="0" w:space="0" w:color="auto"/>
        <w:bottom w:val="none" w:sz="0" w:space="0" w:color="auto"/>
        <w:right w:val="none" w:sz="0" w:space="0" w:color="auto"/>
      </w:divBdr>
    </w:div>
    <w:div w:id="2049255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linicaltrials.gov/" TargetMode="External"/><Relationship Id="rId20" Type="http://schemas.openxmlformats.org/officeDocument/2006/relationships/hyperlink" Target="http://hcupnet.ahrq.gov/" TargetMode="External"/><Relationship Id="rId21" Type="http://schemas.openxmlformats.org/officeDocument/2006/relationships/hyperlink" Target="http://www.cdc.gov/nchs/" TargetMode="External"/><Relationship Id="rId22" Type="http://schemas.openxmlformats.org/officeDocument/2006/relationships/hyperlink" Target="http://www.drugdigest.org/wps/portal/ddigest" TargetMode="External"/><Relationship Id="rId23" Type="http://schemas.openxmlformats.org/officeDocument/2006/relationships/hyperlink" Target="http://druginfo.nlm.nih.gov/drugportal/drugportal.jsp" TargetMode="External"/><Relationship Id="rId24" Type="http://schemas.openxmlformats.org/officeDocument/2006/relationships/hyperlink" Target="http://pillbox.nlm.nih.gov/" TargetMode="External"/><Relationship Id="rId25" Type="http://schemas.openxmlformats.org/officeDocument/2006/relationships/hyperlink" Target="http://dailymed.nlm.nih.gov" TargetMode="External"/><Relationship Id="rId26" Type="http://schemas.openxmlformats.org/officeDocument/2006/relationships/hyperlink" Target="http://druginfo.nlm.nih.gov" TargetMode="External"/><Relationship Id="rId27" Type="http://schemas.openxmlformats.org/officeDocument/2006/relationships/hyperlink" Target="http://www.aanp.org/" TargetMode="External"/><Relationship Id="rId28" Type="http://schemas.openxmlformats.org/officeDocument/2006/relationships/hyperlink" Target="http://www.nursingworld.org/" TargetMode="External"/><Relationship Id="rId29" Type="http://schemas.openxmlformats.org/officeDocument/2006/relationships/hyperlink" Target="http://www.aaacn.org/cgi-bin/WebObjects/AAACNMain"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familydoctor.org/familydoctor/en.html" TargetMode="External"/><Relationship Id="rId11" Type="http://schemas.openxmlformats.org/officeDocument/2006/relationships/hyperlink" Target="http://www.aafp.org/" TargetMode="External"/><Relationship Id="rId12" Type="http://schemas.openxmlformats.org/officeDocument/2006/relationships/hyperlink" Target="http://www.aafp.org/online/en/home/aboutus/theaafp/aafpfacts.html" TargetMode="External"/><Relationship Id="rId13" Type="http://schemas.openxmlformats.org/officeDocument/2006/relationships/hyperlink" Target="http://www.doh.state.fl.us/mqa/nursing/" TargetMode="External"/><Relationship Id="rId14" Type="http://schemas.openxmlformats.org/officeDocument/2006/relationships/hyperlink" Target="http://www.healthfinder.gov/" TargetMode="External"/><Relationship Id="rId15" Type="http://schemas.openxmlformats.org/officeDocument/2006/relationships/hyperlink" Target="http://www.nlm.nih.gov/medlineplus/" TargetMode="External"/><Relationship Id="rId16" Type="http://schemas.openxmlformats.org/officeDocument/2006/relationships/hyperlink" Target="http://nihseniorhealth.gov/" TargetMode="External"/><Relationship Id="rId17" Type="http://schemas.openxmlformats.org/officeDocument/2006/relationships/hyperlink" Target="http://www.womenshealth.gov/" TargetMode="External"/><Relationship Id="rId18" Type="http://schemas.openxmlformats.org/officeDocument/2006/relationships/hyperlink" Target="http://www.doh.state.fl.us/planning_eval/phstats/index.html" TargetMode="External"/><Relationship Id="rId19" Type="http://schemas.openxmlformats.org/officeDocument/2006/relationships/hyperlink" Target="http://www.census.gov/compendia/statab/cats/health_nutrition/health_care_resources.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nccam.nih.gov/health/atoz.htm" TargetMode="External"/><Relationship Id="rId7" Type="http://schemas.openxmlformats.org/officeDocument/2006/relationships/hyperlink" Target="http://www.nlm.nih.gov/medlineplus/mplusdictionary.html" TargetMode="External"/><Relationship Id="rId8" Type="http://schemas.openxmlformats.org/officeDocument/2006/relationships/hyperlink" Target="http://www.cancer.gov/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1567</Words>
  <Characters>8936</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Professional Nursing Associations </vt:lpstr>
    </vt:vector>
  </TitlesOfParts>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Infoguy's Documents</dc:creator>
  <cp:keywords/>
  <dc:description/>
  <cp:lastModifiedBy>Microsoft Office User</cp:lastModifiedBy>
  <cp:revision>4</cp:revision>
  <dcterms:created xsi:type="dcterms:W3CDTF">2015-04-24T17:54:00Z</dcterms:created>
  <dcterms:modified xsi:type="dcterms:W3CDTF">2015-04-24T18:24:00Z</dcterms:modified>
</cp:coreProperties>
</file>